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31DF1" w14:textId="77777777" w:rsidR="0061720A" w:rsidRDefault="00D35F06">
      <w:pPr>
        <w:ind w:left="7009"/>
        <w:rPr>
          <w:rFonts w:ascii="Times New Roman"/>
          <w:sz w:val="20"/>
        </w:rPr>
      </w:pPr>
      <w:r>
        <w:rPr>
          <w:rFonts w:ascii="Times New Roman"/>
          <w:noProof/>
          <w:sz w:val="20"/>
        </w:rPr>
        <w:drawing>
          <wp:inline distT="0" distB="0" distL="0" distR="0" wp14:anchorId="5137CB49" wp14:editId="6D19C197">
            <wp:extent cx="1041381" cy="628650"/>
            <wp:effectExtent l="0" t="0" r="6985" b="0"/>
            <wp:docPr id="1" name="Imag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a:extLst>
                        <a:ext uri="{C183D7F6-B498-43B3-948B-1728B52AA6E4}">
                          <adec:decorative xmlns:adec="http://schemas.microsoft.com/office/drawing/2017/decorative" val="1"/>
                        </a:ext>
                      </a:extLst>
                    </pic:cNvPr>
                    <pic:cNvPicPr/>
                  </pic:nvPicPr>
                  <pic:blipFill>
                    <a:blip r:embed="rId4" cstate="print"/>
                    <a:stretch>
                      <a:fillRect/>
                    </a:stretch>
                  </pic:blipFill>
                  <pic:spPr>
                    <a:xfrm>
                      <a:off x="0" y="0"/>
                      <a:ext cx="1041381" cy="628650"/>
                    </a:xfrm>
                    <a:prstGeom prst="rect">
                      <a:avLst/>
                    </a:prstGeom>
                  </pic:spPr>
                </pic:pic>
              </a:graphicData>
            </a:graphic>
          </wp:inline>
        </w:drawing>
      </w:r>
    </w:p>
    <w:p w14:paraId="4940A5B4" w14:textId="77777777" w:rsidR="0061720A" w:rsidRDefault="0061720A">
      <w:pPr>
        <w:pStyle w:val="BodyText"/>
        <w:spacing w:before="4"/>
        <w:rPr>
          <w:rFonts w:ascii="Times New Roman"/>
        </w:rPr>
      </w:pPr>
    </w:p>
    <w:p w14:paraId="5021CD98" w14:textId="77777777" w:rsidR="0061720A" w:rsidRDefault="00D35F06">
      <w:pPr>
        <w:pStyle w:val="Heading1"/>
      </w:pPr>
      <w:r>
        <w:t>Hull</w:t>
      </w:r>
      <w:r>
        <w:rPr>
          <w:spacing w:val="-3"/>
        </w:rPr>
        <w:t xml:space="preserve"> </w:t>
      </w:r>
      <w:r>
        <w:t>College</w:t>
      </w:r>
      <w:r>
        <w:rPr>
          <w:spacing w:val="-5"/>
        </w:rPr>
        <w:t xml:space="preserve"> </w:t>
      </w:r>
      <w:r>
        <w:t>Statement</w:t>
      </w:r>
      <w:r>
        <w:rPr>
          <w:spacing w:val="-4"/>
        </w:rPr>
        <w:t xml:space="preserve"> </w:t>
      </w:r>
      <w:r>
        <w:t>on</w:t>
      </w:r>
      <w:r>
        <w:rPr>
          <w:spacing w:val="-1"/>
        </w:rPr>
        <w:t xml:space="preserve"> </w:t>
      </w:r>
      <w:r>
        <w:rPr>
          <w:spacing w:val="-2"/>
        </w:rPr>
        <w:t>Antisemitism</w:t>
      </w:r>
    </w:p>
    <w:p w14:paraId="3BD92CF1" w14:textId="77777777" w:rsidR="0061720A" w:rsidRDefault="0061720A">
      <w:pPr>
        <w:pStyle w:val="BodyText"/>
        <w:rPr>
          <w:b/>
        </w:rPr>
      </w:pPr>
    </w:p>
    <w:p w14:paraId="159DE289" w14:textId="77777777" w:rsidR="0061720A" w:rsidRDefault="00D35F06">
      <w:pPr>
        <w:pStyle w:val="BodyText"/>
        <w:ind w:left="23" w:right="107"/>
      </w:pPr>
      <w:r>
        <w:t>Hull</w:t>
      </w:r>
      <w:r>
        <w:rPr>
          <w:spacing w:val="-3"/>
        </w:rPr>
        <w:t xml:space="preserve"> </w:t>
      </w:r>
      <w:r>
        <w:t>College</w:t>
      </w:r>
      <w:r>
        <w:rPr>
          <w:spacing w:val="-2"/>
        </w:rPr>
        <w:t xml:space="preserve"> </w:t>
      </w:r>
      <w:r>
        <w:t>has</w:t>
      </w:r>
      <w:r>
        <w:rPr>
          <w:spacing w:val="-3"/>
        </w:rPr>
        <w:t xml:space="preserve"> </w:t>
      </w:r>
      <w:r>
        <w:t>joined</w:t>
      </w:r>
      <w:r>
        <w:rPr>
          <w:spacing w:val="-4"/>
        </w:rPr>
        <w:t xml:space="preserve"> </w:t>
      </w:r>
      <w:r>
        <w:t>other</w:t>
      </w:r>
      <w:r>
        <w:rPr>
          <w:spacing w:val="-3"/>
        </w:rPr>
        <w:t xml:space="preserve"> </w:t>
      </w:r>
      <w:r>
        <w:t>colleges</w:t>
      </w:r>
      <w:r>
        <w:rPr>
          <w:spacing w:val="-3"/>
        </w:rPr>
        <w:t xml:space="preserve"> </w:t>
      </w:r>
      <w:r>
        <w:t>and</w:t>
      </w:r>
      <w:r>
        <w:rPr>
          <w:spacing w:val="-5"/>
        </w:rPr>
        <w:t xml:space="preserve"> </w:t>
      </w:r>
      <w:r>
        <w:t>university</w:t>
      </w:r>
      <w:r>
        <w:rPr>
          <w:spacing w:val="-3"/>
        </w:rPr>
        <w:t xml:space="preserve"> </w:t>
      </w:r>
      <w:proofErr w:type="spellStart"/>
      <w:r>
        <w:t>centres</w:t>
      </w:r>
      <w:proofErr w:type="spellEnd"/>
      <w:r>
        <w:rPr>
          <w:spacing w:val="-6"/>
        </w:rPr>
        <w:t xml:space="preserve"> </w:t>
      </w:r>
      <w:r>
        <w:t>across</w:t>
      </w:r>
      <w:r>
        <w:rPr>
          <w:spacing w:val="-3"/>
        </w:rPr>
        <w:t xml:space="preserve"> </w:t>
      </w:r>
      <w:r>
        <w:t>the</w:t>
      </w:r>
      <w:r>
        <w:rPr>
          <w:spacing w:val="-3"/>
        </w:rPr>
        <w:t xml:space="preserve"> </w:t>
      </w:r>
      <w:r>
        <w:t>country</w:t>
      </w:r>
      <w:r>
        <w:rPr>
          <w:spacing w:val="-3"/>
        </w:rPr>
        <w:t xml:space="preserve"> </w:t>
      </w:r>
      <w:r>
        <w:t>in stating clearly our position against prejudice and discrimination as part of our commitment to promote and advance equality and develop an inclusive and cohesive college community. We do this because it aligns closely with our own values, mission, and vision.</w:t>
      </w:r>
    </w:p>
    <w:p w14:paraId="65085219" w14:textId="77777777" w:rsidR="0061720A" w:rsidRDefault="0061720A">
      <w:pPr>
        <w:pStyle w:val="BodyText"/>
      </w:pPr>
    </w:p>
    <w:p w14:paraId="0B4268FE" w14:textId="77777777" w:rsidR="0061720A" w:rsidRDefault="00D35F06">
      <w:pPr>
        <w:pStyle w:val="BodyText"/>
        <w:ind w:left="23" w:right="107"/>
      </w:pPr>
      <w:r>
        <w:t>The</w:t>
      </w:r>
      <w:r>
        <w:rPr>
          <w:spacing w:val="-4"/>
        </w:rPr>
        <w:t xml:space="preserve"> </w:t>
      </w:r>
      <w:r>
        <w:t>Community</w:t>
      </w:r>
      <w:r>
        <w:rPr>
          <w:spacing w:val="-6"/>
        </w:rPr>
        <w:t xml:space="preserve"> </w:t>
      </w:r>
      <w:r>
        <w:t>Security</w:t>
      </w:r>
      <w:r>
        <w:rPr>
          <w:spacing w:val="-4"/>
        </w:rPr>
        <w:t xml:space="preserve"> </w:t>
      </w:r>
      <w:r>
        <w:t>Trust</w:t>
      </w:r>
      <w:r>
        <w:rPr>
          <w:spacing w:val="-4"/>
        </w:rPr>
        <w:t xml:space="preserve"> </w:t>
      </w:r>
      <w:r>
        <w:t>is</w:t>
      </w:r>
      <w:r>
        <w:rPr>
          <w:spacing w:val="-4"/>
        </w:rPr>
        <w:t xml:space="preserve"> </w:t>
      </w:r>
      <w:r>
        <w:t>the</w:t>
      </w:r>
      <w:r>
        <w:rPr>
          <w:spacing w:val="-4"/>
        </w:rPr>
        <w:t xml:space="preserve"> </w:t>
      </w:r>
      <w:r>
        <w:t>leading</w:t>
      </w:r>
      <w:r>
        <w:rPr>
          <w:spacing w:val="-7"/>
        </w:rPr>
        <w:t xml:space="preserve"> </w:t>
      </w:r>
      <w:proofErr w:type="spellStart"/>
      <w:r>
        <w:t>organisation</w:t>
      </w:r>
      <w:proofErr w:type="spellEnd"/>
      <w:r>
        <w:t xml:space="preserve"> monitoring</w:t>
      </w:r>
      <w:r>
        <w:rPr>
          <w:spacing w:val="-4"/>
        </w:rPr>
        <w:t xml:space="preserve"> </w:t>
      </w:r>
      <w:r>
        <w:t>and</w:t>
      </w:r>
      <w:r>
        <w:rPr>
          <w:spacing w:val="-4"/>
        </w:rPr>
        <w:t xml:space="preserve"> </w:t>
      </w:r>
      <w:r>
        <w:t>supporting victims of Anti-Semitism. The Trust report on Anti-Semitic incidents during the first six months</w:t>
      </w:r>
      <w:r>
        <w:rPr>
          <w:spacing w:val="-1"/>
        </w:rPr>
        <w:t xml:space="preserve"> </w:t>
      </w:r>
      <w:r>
        <w:t>of 2019 showed the</w:t>
      </w:r>
      <w:r>
        <w:rPr>
          <w:spacing w:val="-1"/>
        </w:rPr>
        <w:t xml:space="preserve"> </w:t>
      </w:r>
      <w:r>
        <w:t>highest total</w:t>
      </w:r>
      <w:r>
        <w:rPr>
          <w:spacing w:val="-2"/>
        </w:rPr>
        <w:t xml:space="preserve"> </w:t>
      </w:r>
      <w:r>
        <w:t>on record over</w:t>
      </w:r>
      <w:r>
        <w:rPr>
          <w:spacing w:val="-2"/>
        </w:rPr>
        <w:t xml:space="preserve"> </w:t>
      </w:r>
      <w:r>
        <w:t xml:space="preserve">a six-month period, with over 100 incidents a month for the third year running. In the first half of 2020, CST received ten reports of educational or religious online events being hijacked with antisemitic content or </w:t>
      </w:r>
      <w:proofErr w:type="spellStart"/>
      <w:r>
        <w:t>behaviour</w:t>
      </w:r>
      <w:proofErr w:type="spellEnd"/>
      <w:r>
        <w:t>. CST also recorded 26 incidents that contained antisemitic r</w:t>
      </w:r>
      <w:r>
        <w:t>hetoric alongside references to the Covid pandemic. This data is clearly a cause for concern.</w:t>
      </w:r>
    </w:p>
    <w:p w14:paraId="0DC29EEF" w14:textId="77777777" w:rsidR="0061720A" w:rsidRDefault="00D35F06">
      <w:pPr>
        <w:pStyle w:val="BodyText"/>
        <w:spacing w:before="274"/>
        <w:ind w:left="23"/>
      </w:pPr>
      <w:r>
        <w:t>By</w:t>
      </w:r>
      <w:r>
        <w:rPr>
          <w:spacing w:val="-3"/>
        </w:rPr>
        <w:t xml:space="preserve"> </w:t>
      </w:r>
      <w:r>
        <w:t>adopting</w:t>
      </w:r>
      <w:r>
        <w:rPr>
          <w:spacing w:val="-3"/>
        </w:rPr>
        <w:t xml:space="preserve"> </w:t>
      </w:r>
      <w:r>
        <w:t>a</w:t>
      </w:r>
      <w:r>
        <w:rPr>
          <w:spacing w:val="-4"/>
        </w:rPr>
        <w:t xml:space="preserve"> </w:t>
      </w:r>
      <w:proofErr w:type="spellStart"/>
      <w:r>
        <w:t>recognised</w:t>
      </w:r>
      <w:proofErr w:type="spellEnd"/>
      <w:r>
        <w:rPr>
          <w:spacing w:val="-3"/>
        </w:rPr>
        <w:t xml:space="preserve"> </w:t>
      </w:r>
      <w:r>
        <w:t>definition</w:t>
      </w:r>
      <w:r>
        <w:rPr>
          <w:spacing w:val="-3"/>
        </w:rPr>
        <w:t xml:space="preserve"> </w:t>
      </w:r>
      <w:r>
        <w:t>of</w:t>
      </w:r>
      <w:r>
        <w:rPr>
          <w:spacing w:val="-5"/>
        </w:rPr>
        <w:t xml:space="preserve"> </w:t>
      </w:r>
      <w:r>
        <w:t>Anti-Semitism,</w:t>
      </w:r>
      <w:r>
        <w:rPr>
          <w:spacing w:val="-4"/>
        </w:rPr>
        <w:t xml:space="preserve"> </w:t>
      </w:r>
      <w:r>
        <w:t>Hull</w:t>
      </w:r>
      <w:r>
        <w:rPr>
          <w:spacing w:val="-3"/>
        </w:rPr>
        <w:t xml:space="preserve"> </w:t>
      </w:r>
      <w:r>
        <w:t>College</w:t>
      </w:r>
      <w:r>
        <w:rPr>
          <w:spacing w:val="-4"/>
        </w:rPr>
        <w:t xml:space="preserve"> </w:t>
      </w:r>
      <w:r>
        <w:t>has</w:t>
      </w:r>
      <w:r>
        <w:rPr>
          <w:spacing w:val="-3"/>
        </w:rPr>
        <w:t xml:space="preserve"> </w:t>
      </w:r>
      <w:r>
        <w:t>demonstrated its commitment to tackling racist and religious hatred and all forms of discrimination. The working definition of Anti-Semitism as defined by the IHRA (International Holocaust Remembrance Alliance) is as follows:</w:t>
      </w:r>
    </w:p>
    <w:p w14:paraId="7E57F550" w14:textId="77777777" w:rsidR="0061720A" w:rsidRDefault="0061720A">
      <w:pPr>
        <w:pStyle w:val="BodyText"/>
      </w:pPr>
    </w:p>
    <w:p w14:paraId="0F6AEAA3" w14:textId="77777777" w:rsidR="0061720A" w:rsidRDefault="00D35F06">
      <w:pPr>
        <w:pStyle w:val="Heading2"/>
      </w:pPr>
      <w:r>
        <w:t>“Anti-Semitism is a certain perception of Jews, which may be expressed as</w:t>
      </w:r>
      <w:r>
        <w:t xml:space="preserve"> hatred</w:t>
      </w:r>
      <w:r>
        <w:rPr>
          <w:spacing w:val="-4"/>
        </w:rPr>
        <w:t xml:space="preserve"> </w:t>
      </w:r>
      <w:r>
        <w:t>toward</w:t>
      </w:r>
      <w:r>
        <w:rPr>
          <w:spacing w:val="-4"/>
        </w:rPr>
        <w:t xml:space="preserve"> </w:t>
      </w:r>
      <w:r>
        <w:t>Jews.</w:t>
      </w:r>
      <w:r>
        <w:rPr>
          <w:spacing w:val="-5"/>
        </w:rPr>
        <w:t xml:space="preserve"> </w:t>
      </w:r>
      <w:r>
        <w:t>Rhetorical</w:t>
      </w:r>
      <w:r>
        <w:rPr>
          <w:spacing w:val="-5"/>
        </w:rPr>
        <w:t xml:space="preserve"> </w:t>
      </w:r>
      <w:r>
        <w:t>and</w:t>
      </w:r>
      <w:r>
        <w:rPr>
          <w:spacing w:val="-4"/>
        </w:rPr>
        <w:t xml:space="preserve"> </w:t>
      </w:r>
      <w:r>
        <w:t>physical</w:t>
      </w:r>
      <w:r>
        <w:rPr>
          <w:spacing w:val="-4"/>
        </w:rPr>
        <w:t xml:space="preserve"> </w:t>
      </w:r>
      <w:r>
        <w:t>manifestations</w:t>
      </w:r>
      <w:r>
        <w:rPr>
          <w:spacing w:val="-5"/>
        </w:rPr>
        <w:t xml:space="preserve"> </w:t>
      </w:r>
      <w:r>
        <w:t>of</w:t>
      </w:r>
      <w:r>
        <w:rPr>
          <w:spacing w:val="-4"/>
        </w:rPr>
        <w:t xml:space="preserve"> </w:t>
      </w:r>
      <w:r>
        <w:t>Anti-Semitism are directed towards Jewish or non-Jewish individuals and/or their property, toward Jewish community institutions and religious families.”</w:t>
      </w:r>
    </w:p>
    <w:p w14:paraId="13B82A56" w14:textId="77777777" w:rsidR="0061720A" w:rsidRDefault="0061720A">
      <w:pPr>
        <w:pStyle w:val="BodyText"/>
        <w:spacing w:before="1"/>
        <w:rPr>
          <w:b/>
          <w:i/>
        </w:rPr>
      </w:pPr>
    </w:p>
    <w:p w14:paraId="1B3CE4C9" w14:textId="77777777" w:rsidR="0061720A" w:rsidRDefault="00D35F06">
      <w:pPr>
        <w:pStyle w:val="BodyText"/>
        <w:ind w:left="23" w:right="107"/>
      </w:pPr>
      <w:r>
        <w:t>The definition is not designed to be legally binding, but it can be viewed as an invaluable tool for FE institutions and</w:t>
      </w:r>
      <w:r>
        <w:rPr>
          <w:spacing w:val="-2"/>
        </w:rPr>
        <w:t xml:space="preserve"> </w:t>
      </w:r>
      <w:r>
        <w:t>other public bodies to understand</w:t>
      </w:r>
      <w:r>
        <w:rPr>
          <w:spacing w:val="-2"/>
        </w:rPr>
        <w:t xml:space="preserve"> </w:t>
      </w:r>
      <w:r>
        <w:t>how Anti-Semitism</w:t>
      </w:r>
      <w:r>
        <w:rPr>
          <w:spacing w:val="-3"/>
        </w:rPr>
        <w:t xml:space="preserve"> </w:t>
      </w:r>
      <w:r>
        <w:t>manifests</w:t>
      </w:r>
      <w:r>
        <w:rPr>
          <w:spacing w:val="-2"/>
        </w:rPr>
        <w:t xml:space="preserve"> </w:t>
      </w:r>
      <w:r>
        <w:t>itself.</w:t>
      </w:r>
      <w:r>
        <w:rPr>
          <w:spacing w:val="-2"/>
        </w:rPr>
        <w:t xml:space="preserve"> </w:t>
      </w:r>
      <w:r>
        <w:t>Such</w:t>
      </w:r>
      <w:r>
        <w:rPr>
          <w:spacing w:val="-2"/>
        </w:rPr>
        <w:t xml:space="preserve"> </w:t>
      </w:r>
      <w:r>
        <w:t>an</w:t>
      </w:r>
      <w:r>
        <w:rPr>
          <w:spacing w:val="-2"/>
        </w:rPr>
        <w:t xml:space="preserve"> </w:t>
      </w:r>
      <w:r>
        <w:t>approach</w:t>
      </w:r>
      <w:r>
        <w:rPr>
          <w:spacing w:val="-4"/>
        </w:rPr>
        <w:t xml:space="preserve"> </w:t>
      </w:r>
      <w:r>
        <w:t>provides</w:t>
      </w:r>
      <w:r>
        <w:rPr>
          <w:spacing w:val="-4"/>
        </w:rPr>
        <w:t xml:space="preserve"> </w:t>
      </w:r>
      <w:r>
        <w:t>a</w:t>
      </w:r>
      <w:r>
        <w:rPr>
          <w:spacing w:val="-2"/>
        </w:rPr>
        <w:t xml:space="preserve"> </w:t>
      </w:r>
      <w:r>
        <w:t>strong</w:t>
      </w:r>
      <w:r>
        <w:rPr>
          <w:spacing w:val="-2"/>
        </w:rPr>
        <w:t xml:space="preserve"> </w:t>
      </w:r>
      <w:r>
        <w:t>gesture</w:t>
      </w:r>
      <w:r>
        <w:rPr>
          <w:spacing w:val="-2"/>
        </w:rPr>
        <w:t xml:space="preserve"> </w:t>
      </w:r>
      <w:r>
        <w:t>of</w:t>
      </w:r>
      <w:r>
        <w:rPr>
          <w:spacing w:val="-2"/>
        </w:rPr>
        <w:t xml:space="preserve"> </w:t>
      </w:r>
      <w:r>
        <w:t xml:space="preserve">support and solidarity with Jewish communities that their concerns are </w:t>
      </w:r>
      <w:proofErr w:type="spellStart"/>
      <w:r>
        <w:t>recognised</w:t>
      </w:r>
      <w:proofErr w:type="spellEnd"/>
      <w:r>
        <w:t xml:space="preserve"> and understood</w:t>
      </w:r>
      <w:r>
        <w:rPr>
          <w:spacing w:val="-4"/>
        </w:rPr>
        <w:t xml:space="preserve"> </w:t>
      </w:r>
      <w:r>
        <w:t>and</w:t>
      </w:r>
      <w:r>
        <w:rPr>
          <w:spacing w:val="-5"/>
        </w:rPr>
        <w:t xml:space="preserve"> </w:t>
      </w:r>
      <w:r>
        <w:t>assurance</w:t>
      </w:r>
      <w:r>
        <w:rPr>
          <w:spacing w:val="-4"/>
        </w:rPr>
        <w:t xml:space="preserve"> </w:t>
      </w:r>
      <w:r>
        <w:t>to</w:t>
      </w:r>
      <w:r>
        <w:rPr>
          <w:spacing w:val="-4"/>
        </w:rPr>
        <w:t xml:space="preserve"> </w:t>
      </w:r>
      <w:r>
        <w:t>all</w:t>
      </w:r>
      <w:r>
        <w:rPr>
          <w:spacing w:val="-4"/>
        </w:rPr>
        <w:t xml:space="preserve"> </w:t>
      </w:r>
      <w:r>
        <w:t>our</w:t>
      </w:r>
      <w:r>
        <w:rPr>
          <w:spacing w:val="-4"/>
        </w:rPr>
        <w:t xml:space="preserve"> </w:t>
      </w:r>
      <w:r>
        <w:t>communities</w:t>
      </w:r>
      <w:r>
        <w:rPr>
          <w:spacing w:val="-4"/>
        </w:rPr>
        <w:t xml:space="preserve"> </w:t>
      </w:r>
      <w:r>
        <w:t>that</w:t>
      </w:r>
      <w:r>
        <w:rPr>
          <w:spacing w:val="-4"/>
        </w:rPr>
        <w:t xml:space="preserve"> </w:t>
      </w:r>
      <w:r>
        <w:t>Anti-Semitic</w:t>
      </w:r>
      <w:r>
        <w:rPr>
          <w:spacing w:val="-4"/>
        </w:rPr>
        <w:t xml:space="preserve"> </w:t>
      </w:r>
      <w:proofErr w:type="spellStart"/>
      <w:r>
        <w:t>behaviour</w:t>
      </w:r>
      <w:proofErr w:type="spellEnd"/>
      <w:r>
        <w:rPr>
          <w:spacing w:val="-4"/>
        </w:rPr>
        <w:t xml:space="preserve"> </w:t>
      </w:r>
      <w:r>
        <w:t>and discrimination will not be tolerated.</w:t>
      </w:r>
    </w:p>
    <w:p w14:paraId="0A21A7B3" w14:textId="77777777" w:rsidR="0061720A" w:rsidRDefault="0061720A">
      <w:pPr>
        <w:pStyle w:val="BodyText"/>
      </w:pPr>
    </w:p>
    <w:p w14:paraId="482B25BD" w14:textId="77777777" w:rsidR="0061720A" w:rsidRDefault="00D35F06">
      <w:pPr>
        <w:pStyle w:val="BodyText"/>
        <w:ind w:left="23" w:right="96"/>
      </w:pPr>
      <w:r>
        <w:t>However,</w:t>
      </w:r>
      <w:r>
        <w:rPr>
          <w:spacing w:val="-3"/>
        </w:rPr>
        <w:t xml:space="preserve"> </w:t>
      </w:r>
      <w:r>
        <w:t>in</w:t>
      </w:r>
      <w:r>
        <w:rPr>
          <w:spacing w:val="-3"/>
        </w:rPr>
        <w:t xml:space="preserve"> </w:t>
      </w:r>
      <w:r>
        <w:t>response</w:t>
      </w:r>
      <w:r>
        <w:rPr>
          <w:spacing w:val="-3"/>
        </w:rPr>
        <w:t xml:space="preserve"> </w:t>
      </w:r>
      <w:r>
        <w:t>to</w:t>
      </w:r>
      <w:r>
        <w:rPr>
          <w:spacing w:val="-3"/>
        </w:rPr>
        <w:t xml:space="preserve"> </w:t>
      </w:r>
      <w:r>
        <w:t>legitimate</w:t>
      </w:r>
      <w:r>
        <w:rPr>
          <w:spacing w:val="-3"/>
        </w:rPr>
        <w:t xml:space="preserve"> </w:t>
      </w:r>
      <w:r>
        <w:t>criticism</w:t>
      </w:r>
      <w:r>
        <w:rPr>
          <w:spacing w:val="-2"/>
        </w:rPr>
        <w:t xml:space="preserve"> </w:t>
      </w:r>
      <w:r>
        <w:t>of</w:t>
      </w:r>
      <w:r>
        <w:rPr>
          <w:spacing w:val="-5"/>
        </w:rPr>
        <w:t xml:space="preserve"> </w:t>
      </w:r>
      <w:r>
        <w:t>state</w:t>
      </w:r>
      <w:r>
        <w:rPr>
          <w:spacing w:val="-4"/>
        </w:rPr>
        <w:t xml:space="preserve"> </w:t>
      </w:r>
      <w:r>
        <w:t>policy</w:t>
      </w:r>
      <w:r>
        <w:rPr>
          <w:spacing w:val="-5"/>
        </w:rPr>
        <w:t xml:space="preserve"> </w:t>
      </w:r>
      <w:r>
        <w:t>and</w:t>
      </w:r>
      <w:r>
        <w:rPr>
          <w:spacing w:val="-5"/>
        </w:rPr>
        <w:t xml:space="preserve"> </w:t>
      </w:r>
      <w:r>
        <w:t>practice, Hull</w:t>
      </w:r>
      <w:r>
        <w:rPr>
          <w:spacing w:val="-3"/>
        </w:rPr>
        <w:t xml:space="preserve"> </w:t>
      </w:r>
      <w:r>
        <w:t>College affirms that freedom of speech (as articulated in our Freedom of Expression policy) is</w:t>
      </w:r>
      <w:r>
        <w:rPr>
          <w:spacing w:val="-1"/>
        </w:rPr>
        <w:t xml:space="preserve"> </w:t>
      </w:r>
      <w:r>
        <w:t>maintained</w:t>
      </w:r>
      <w:r>
        <w:rPr>
          <w:spacing w:val="-1"/>
        </w:rPr>
        <w:t xml:space="preserve"> </w:t>
      </w:r>
      <w:r>
        <w:t>in</w:t>
      </w:r>
      <w:r>
        <w:rPr>
          <w:spacing w:val="-3"/>
        </w:rPr>
        <w:t xml:space="preserve"> </w:t>
      </w:r>
      <w:r>
        <w:t>the</w:t>
      </w:r>
      <w:r>
        <w:rPr>
          <w:spacing w:val="-3"/>
        </w:rPr>
        <w:t xml:space="preserve"> </w:t>
      </w:r>
      <w:r>
        <w:t>context</w:t>
      </w:r>
      <w:r>
        <w:rPr>
          <w:spacing w:val="-3"/>
        </w:rPr>
        <w:t xml:space="preserve"> </w:t>
      </w:r>
      <w:r>
        <w:t>of</w:t>
      </w:r>
      <w:r>
        <w:rPr>
          <w:spacing w:val="-3"/>
        </w:rPr>
        <w:t xml:space="preserve"> </w:t>
      </w:r>
      <w:r>
        <w:t>discourse</w:t>
      </w:r>
      <w:r>
        <w:rPr>
          <w:spacing w:val="-3"/>
        </w:rPr>
        <w:t xml:space="preserve"> </w:t>
      </w:r>
      <w:r>
        <w:t>about</w:t>
      </w:r>
      <w:r>
        <w:rPr>
          <w:spacing w:val="-1"/>
        </w:rPr>
        <w:t xml:space="preserve"> </w:t>
      </w:r>
      <w:r>
        <w:t>Israel</w:t>
      </w:r>
      <w:r>
        <w:rPr>
          <w:spacing w:val="-4"/>
        </w:rPr>
        <w:t xml:space="preserve"> </w:t>
      </w:r>
      <w:r>
        <w:t>and</w:t>
      </w:r>
      <w:r>
        <w:rPr>
          <w:spacing w:val="-1"/>
        </w:rPr>
        <w:t xml:space="preserve"> </w:t>
      </w:r>
      <w:r>
        <w:t>Palestine,</w:t>
      </w:r>
      <w:r>
        <w:rPr>
          <w:spacing w:val="-3"/>
        </w:rPr>
        <w:t xml:space="preserve"> </w:t>
      </w:r>
      <w:r>
        <w:t>without</w:t>
      </w:r>
      <w:r>
        <w:rPr>
          <w:spacing w:val="-3"/>
        </w:rPr>
        <w:t xml:space="preserve"> </w:t>
      </w:r>
      <w:r>
        <w:t>allowing anti-Semitism to permeate any discussion and debate.</w:t>
      </w:r>
    </w:p>
    <w:p w14:paraId="3A53A7D7" w14:textId="77777777" w:rsidR="0061720A" w:rsidRDefault="0061720A">
      <w:pPr>
        <w:pStyle w:val="BodyText"/>
        <w:spacing w:before="17"/>
      </w:pPr>
    </w:p>
    <w:p w14:paraId="365AB753" w14:textId="77777777" w:rsidR="0061720A" w:rsidRDefault="00D35F06">
      <w:pPr>
        <w:pStyle w:val="BodyText"/>
        <w:spacing w:before="1"/>
        <w:ind w:left="23"/>
      </w:pPr>
      <w:r>
        <w:t xml:space="preserve">The Home Affairs Select Committee on Anti-Semitism (2016) confirmed in adding to the IHRA definition that, ‘it is not anti-Semitic to </w:t>
      </w:r>
      <w:proofErr w:type="spellStart"/>
      <w:r>
        <w:t>criticise</w:t>
      </w:r>
      <w:proofErr w:type="spellEnd"/>
      <w:r>
        <w:t xml:space="preserve"> the Government of Israel without</w:t>
      </w:r>
      <w:r>
        <w:rPr>
          <w:spacing w:val="-4"/>
        </w:rPr>
        <w:t xml:space="preserve"> </w:t>
      </w:r>
      <w:r>
        <w:t>additional</w:t>
      </w:r>
      <w:r>
        <w:rPr>
          <w:spacing w:val="-5"/>
        </w:rPr>
        <w:t xml:space="preserve"> </w:t>
      </w:r>
      <w:r>
        <w:t>evidence</w:t>
      </w:r>
      <w:r>
        <w:rPr>
          <w:spacing w:val="-4"/>
        </w:rPr>
        <w:t xml:space="preserve"> </w:t>
      </w:r>
      <w:r>
        <w:t>to</w:t>
      </w:r>
      <w:r>
        <w:rPr>
          <w:spacing w:val="-1"/>
        </w:rPr>
        <w:t xml:space="preserve"> </w:t>
      </w:r>
      <w:r>
        <w:t>suggest</w:t>
      </w:r>
      <w:r>
        <w:rPr>
          <w:spacing w:val="-2"/>
        </w:rPr>
        <w:t xml:space="preserve"> </w:t>
      </w:r>
      <w:r>
        <w:t>anti-Semitic</w:t>
      </w:r>
      <w:r>
        <w:rPr>
          <w:spacing w:val="-2"/>
        </w:rPr>
        <w:t xml:space="preserve"> </w:t>
      </w:r>
      <w:r>
        <w:t>intent’</w:t>
      </w:r>
      <w:r>
        <w:rPr>
          <w:spacing w:val="-5"/>
        </w:rPr>
        <w:t xml:space="preserve"> </w:t>
      </w:r>
      <w:r>
        <w:t>and</w:t>
      </w:r>
      <w:r>
        <w:rPr>
          <w:spacing w:val="-1"/>
        </w:rPr>
        <w:t xml:space="preserve"> </w:t>
      </w:r>
      <w:r>
        <w:t>‘it</w:t>
      </w:r>
      <w:r>
        <w:rPr>
          <w:spacing w:val="-2"/>
        </w:rPr>
        <w:t xml:space="preserve"> </w:t>
      </w:r>
      <w:r>
        <w:t>is</w:t>
      </w:r>
      <w:r>
        <w:rPr>
          <w:spacing w:val="-4"/>
        </w:rPr>
        <w:t xml:space="preserve"> </w:t>
      </w:r>
      <w:r>
        <w:t>not</w:t>
      </w:r>
      <w:r>
        <w:rPr>
          <w:spacing w:val="-4"/>
        </w:rPr>
        <w:t xml:space="preserve"> </w:t>
      </w:r>
      <w:r>
        <w:t>anti-Semitic</w:t>
      </w:r>
      <w:r>
        <w:rPr>
          <w:spacing w:val="-2"/>
        </w:rPr>
        <w:t xml:space="preserve"> </w:t>
      </w:r>
      <w:r>
        <w:t>to hold the Israeli government to the same standard as other liberal democracies, or to take particular interest in the Israeli government’s policies or actions, without additional evidence to suggest anti-Semitic intent’.</w:t>
      </w:r>
    </w:p>
    <w:sectPr w:rsidR="0061720A">
      <w:type w:val="continuous"/>
      <w:pgSz w:w="11910" w:h="16840"/>
      <w:pgMar w:top="1440" w:right="1417" w:bottom="280" w:left="1417"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61720A"/>
    <w:rsid w:val="0061720A"/>
    <w:rsid w:val="00D35F06"/>
    <w:rsid w:val="00E24D7B"/>
    <w:rsid w:val="00F84A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9D04C"/>
  <w15:docId w15:val="{B9350F66-1150-4366-A938-BB531A6ED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
      <w:jc w:val="center"/>
      <w:outlineLvl w:val="0"/>
    </w:pPr>
    <w:rPr>
      <w:b/>
      <w:bCs/>
      <w:sz w:val="24"/>
      <w:szCs w:val="24"/>
    </w:rPr>
  </w:style>
  <w:style w:type="paragraph" w:styleId="Heading2">
    <w:name w:val="heading 2"/>
    <w:basedOn w:val="Normal"/>
    <w:uiPriority w:val="9"/>
    <w:unhideWhenUsed/>
    <w:qFormat/>
    <w:pPr>
      <w:ind w:left="23" w:right="96"/>
      <w:outlineLvl w:val="1"/>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420</Words>
  <Characters>2400</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 Kellock</dc:creator>
  <cp:lastModifiedBy>Heather Griffin</cp:lastModifiedBy>
  <cp:revision>2</cp:revision>
  <dcterms:created xsi:type="dcterms:W3CDTF">2026-01-09T11:21:00Z</dcterms:created>
  <dcterms:modified xsi:type="dcterms:W3CDTF">2026-01-09T11:25:00Z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2022-05-17T00:00:00Z</vt:filetime>
  </property>
  <property fmtid="{D5CDD505-2E9C-101B-9397-08002B2CF9AE}" pid="3" name="Creator">
    <vt:lpwstr>Microsoft® Word LTSC</vt:lpwstr>
  </property>
  <property fmtid="{D5CDD505-2E9C-101B-9397-08002B2CF9AE}" pid="4" name="LastSaved">
    <vt:filetime>2026-01-09T00:00:00Z</vt:filetime>
  </property>
  <property fmtid="{D5CDD505-2E9C-101B-9397-08002B2CF9AE}" pid="5" name="Producer">
    <vt:lpwstr>Microsoft® Word LTSC</vt:lpwstr>
  </property>
</Properties>
</file>